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7DDB4A41" w14:textId="77777777" w:rsidR="00DE3ED4" w:rsidRDefault="00DE3ED4" w:rsidP="00632A63">
      <w:pPr>
        <w:jc w:val="center"/>
        <w:rPr>
          <w:rFonts w:ascii="Arial" w:hAnsi="Arial" w:cs="Arial"/>
          <w:b/>
          <w:color w:val="007AC2"/>
          <w:sz w:val="36"/>
        </w:rPr>
      </w:pPr>
    </w:p>
    <w:p w14:paraId="4922C9A9" w14:textId="570C9963" w:rsidR="00FB28CB" w:rsidRDefault="00FB28CB" w:rsidP="00632A63">
      <w:pPr>
        <w:jc w:val="center"/>
        <w:rPr>
          <w:rFonts w:ascii="Arial" w:hAnsi="Arial" w:cs="Arial"/>
          <w:b/>
          <w:color w:val="007AC2"/>
          <w:sz w:val="36"/>
        </w:rPr>
      </w:pPr>
    </w:p>
    <w:p w14:paraId="32AA292A" w14:textId="6C7E4264" w:rsidR="00632A63" w:rsidRPr="00DE3ED4" w:rsidRDefault="00632A63" w:rsidP="00F96246">
      <w:pPr>
        <w:jc w:val="center"/>
        <w:rPr>
          <w:rFonts w:ascii="Arial" w:hAnsi="Arial" w:cs="Arial"/>
          <w:b/>
          <w:color w:val="007AC2"/>
          <w:sz w:val="21"/>
        </w:rPr>
      </w:pPr>
    </w:p>
    <w:p w14:paraId="1BC9B62D" w14:textId="1E40BFD8" w:rsidR="00F96246" w:rsidRPr="007C18D9" w:rsidRDefault="00632A63" w:rsidP="00F96246">
      <w:pPr>
        <w:jc w:val="center"/>
        <w:rPr>
          <w:rFonts w:ascii="Arial" w:hAnsi="Arial"/>
          <w:color w:val="808080" w:themeColor="background1" w:themeShade="80"/>
          <w:sz w:val="6"/>
          <w:szCs w:val="18"/>
        </w:rPr>
      </w:pPr>
      <w:r w:rsidRPr="007C18D9">
        <w:rPr>
          <w:rFonts w:ascii="Arial" w:hAnsi="Arial" w:cs="Arial"/>
          <w:b/>
          <w:color w:val="007AC2"/>
          <w:sz w:val="36"/>
        </w:rPr>
        <w:t>Topcon announces upcoming MAGNET Enterprise release including Autodesk BIM 360 integration</w:t>
      </w:r>
    </w:p>
    <w:p w14:paraId="00578FB7" w14:textId="77777777" w:rsidR="00632A63" w:rsidRPr="00FB28CB" w:rsidRDefault="00632A63" w:rsidP="00F96246">
      <w:pPr>
        <w:jc w:val="center"/>
        <w:rPr>
          <w:rFonts w:ascii="Arial" w:hAnsi="Arial" w:cs="Arial"/>
          <w:b/>
          <w:color w:val="007AC2"/>
          <w:sz w:val="20"/>
          <w:lang w:val="en"/>
        </w:rPr>
      </w:pPr>
    </w:p>
    <w:p w14:paraId="4D67CEF6" w14:textId="267292E7" w:rsidR="00632A63" w:rsidRPr="007C18D9" w:rsidRDefault="000F79AB" w:rsidP="00632A63">
      <w:pPr>
        <w:rPr>
          <w:rFonts w:ascii="Arial" w:hAnsi="Arial" w:cs="Arial"/>
          <w:szCs w:val="20"/>
        </w:rPr>
      </w:pPr>
      <w:r w:rsidRPr="007C18D9">
        <w:rPr>
          <w:rFonts w:ascii="Arial" w:hAnsi="Arial" w:cs="Arial"/>
          <w:i/>
          <w:szCs w:val="20"/>
        </w:rPr>
        <w:t xml:space="preserve">LIVERMORE, Calif., U.S </w:t>
      </w:r>
      <w:r w:rsidR="00632A63" w:rsidRPr="007C18D9">
        <w:rPr>
          <w:rFonts w:ascii="Arial" w:hAnsi="Arial" w:cs="Arial"/>
          <w:i/>
          <w:szCs w:val="20"/>
        </w:rPr>
        <w:t xml:space="preserve">– </w:t>
      </w:r>
      <w:r w:rsidR="001722FF" w:rsidRPr="007C18D9">
        <w:rPr>
          <w:rFonts w:ascii="Arial" w:hAnsi="Arial" w:cs="Arial"/>
          <w:i/>
          <w:szCs w:val="20"/>
        </w:rPr>
        <w:t>January</w:t>
      </w:r>
      <w:r w:rsidR="00A36FC5" w:rsidRPr="007C18D9">
        <w:rPr>
          <w:rFonts w:ascii="Arial" w:hAnsi="Arial" w:cs="Arial"/>
          <w:i/>
          <w:szCs w:val="20"/>
        </w:rPr>
        <w:t xml:space="preserve"> 23</w:t>
      </w:r>
      <w:r w:rsidR="00C94FD7">
        <w:rPr>
          <w:rFonts w:ascii="Arial" w:hAnsi="Arial" w:cs="Arial"/>
          <w:i/>
          <w:szCs w:val="20"/>
        </w:rPr>
        <w:t>, 2018</w:t>
      </w:r>
      <w:r w:rsidR="00632A63" w:rsidRPr="007C18D9">
        <w:rPr>
          <w:rFonts w:ascii="Arial" w:hAnsi="Arial" w:cs="Arial"/>
          <w:i/>
          <w:szCs w:val="20"/>
        </w:rPr>
        <w:t xml:space="preserve"> – </w:t>
      </w:r>
      <w:r w:rsidR="00632A63" w:rsidRPr="007C18D9">
        <w:rPr>
          <w:rFonts w:ascii="Arial" w:hAnsi="Arial" w:cs="Arial"/>
          <w:szCs w:val="20"/>
        </w:rPr>
        <w:t xml:space="preserve">Topcon Positioning Group announces </w:t>
      </w:r>
      <w:bookmarkStart w:id="0" w:name="_GoBack"/>
      <w:bookmarkEnd w:id="0"/>
      <w:r w:rsidR="00632A63" w:rsidRPr="007C18D9">
        <w:rPr>
          <w:rFonts w:ascii="Arial" w:hAnsi="Arial" w:cs="Arial"/>
          <w:szCs w:val="20"/>
        </w:rPr>
        <w:t xml:space="preserve">an update to its MAGNET® Enterprise software system that will expand integration with Autodesk solutions with a new Autodesk BIM 360 cloud connection. </w:t>
      </w:r>
    </w:p>
    <w:p w14:paraId="227B899D" w14:textId="1FCD3BC5" w:rsidR="00632A63" w:rsidRPr="007C18D9" w:rsidRDefault="00D70782" w:rsidP="00D70782">
      <w:pPr>
        <w:tabs>
          <w:tab w:val="left" w:pos="8420"/>
        </w:tabs>
        <w:rPr>
          <w:rFonts w:ascii="Arial" w:hAnsi="Arial" w:cs="Arial"/>
          <w:szCs w:val="20"/>
        </w:rPr>
      </w:pPr>
      <w:r w:rsidRPr="007C18D9">
        <w:rPr>
          <w:rFonts w:ascii="Arial" w:hAnsi="Arial" w:cs="Arial"/>
          <w:szCs w:val="20"/>
        </w:rPr>
        <w:tab/>
      </w:r>
    </w:p>
    <w:p w14:paraId="785B0221" w14:textId="5A2D0547" w:rsidR="00632A63" w:rsidRPr="007C18D9" w:rsidRDefault="00632A63" w:rsidP="00632A63">
      <w:pPr>
        <w:rPr>
          <w:rFonts w:ascii="Arial" w:hAnsi="Arial" w:cs="Arial"/>
          <w:szCs w:val="20"/>
        </w:rPr>
      </w:pPr>
      <w:r w:rsidRPr="007C18D9">
        <w:rPr>
          <w:rFonts w:ascii="Arial" w:hAnsi="Arial" w:cs="Arial"/>
          <w:szCs w:val="20"/>
        </w:rPr>
        <w:t xml:space="preserve">The upcoming integration with BIM 360 is designed to allow </w:t>
      </w:r>
      <w:hyperlink r:id="rId8" w:history="1">
        <w:r w:rsidRPr="007C18D9">
          <w:rPr>
            <w:rStyle w:val="Hyperlink"/>
            <w:rFonts w:ascii="Arial" w:hAnsi="Arial" w:cs="Arial"/>
            <w:szCs w:val="20"/>
          </w:rPr>
          <w:t>MAGNET Enterprise</w:t>
        </w:r>
      </w:hyperlink>
      <w:r w:rsidRPr="007C18D9">
        <w:rPr>
          <w:rFonts w:ascii="Arial" w:hAnsi="Arial" w:cs="Arial"/>
          <w:szCs w:val="20"/>
        </w:rPr>
        <w:t xml:space="preserve"> operators to manage 2D plans, 3D models, and any other project documents in the BIM 360 Docs or Au</w:t>
      </w:r>
      <w:r w:rsidR="001722FF" w:rsidRPr="007C18D9">
        <w:rPr>
          <w:rFonts w:ascii="Arial" w:hAnsi="Arial" w:cs="Arial"/>
          <w:szCs w:val="20"/>
        </w:rPr>
        <w:t xml:space="preserve">todesk A360 Drive environments. </w:t>
      </w:r>
      <w:r w:rsidRPr="007C18D9">
        <w:rPr>
          <w:rFonts w:ascii="Arial" w:hAnsi="Arial" w:cs="Arial"/>
          <w:szCs w:val="20"/>
        </w:rPr>
        <w:t xml:space="preserve">The software is designed to streamline document management bi-directionally between the field and office and provide a dedicated location for sharing and saving the most updated project files. </w:t>
      </w:r>
    </w:p>
    <w:p w14:paraId="566DB1BC" w14:textId="77777777" w:rsidR="00632A63" w:rsidRPr="007C18D9" w:rsidRDefault="00632A63" w:rsidP="00632A63">
      <w:pPr>
        <w:rPr>
          <w:rFonts w:ascii="Arial" w:hAnsi="Arial" w:cs="Arial"/>
          <w:szCs w:val="20"/>
        </w:rPr>
      </w:pPr>
    </w:p>
    <w:p w14:paraId="49485BFA" w14:textId="11777FA8" w:rsidR="00632A63" w:rsidRPr="007C18D9" w:rsidRDefault="00632A63" w:rsidP="00632A63">
      <w:pPr>
        <w:rPr>
          <w:rFonts w:ascii="Arial" w:hAnsi="Arial" w:cs="Arial"/>
          <w:szCs w:val="20"/>
        </w:rPr>
      </w:pPr>
      <w:r w:rsidRPr="007C18D9">
        <w:rPr>
          <w:rFonts w:ascii="Arial" w:hAnsi="Arial" w:cs="Arial"/>
          <w:szCs w:val="20"/>
        </w:rPr>
        <w:t xml:space="preserve">“The BIM 360 integration will allow construction teams to perform field layout from building plans stored in the Autodesk cloud or collect survey and positioning data that can be directly uploaded to BIM 360 Docs,” said David </w:t>
      </w:r>
      <w:proofErr w:type="spellStart"/>
      <w:r w:rsidRPr="007C18D9">
        <w:rPr>
          <w:rFonts w:ascii="Arial" w:hAnsi="Arial" w:cs="Arial"/>
          <w:szCs w:val="20"/>
        </w:rPr>
        <w:t>Ahl</w:t>
      </w:r>
      <w:proofErr w:type="spellEnd"/>
      <w:r w:rsidRPr="007C18D9">
        <w:rPr>
          <w:rFonts w:ascii="Arial" w:hAnsi="Arial" w:cs="Arial"/>
          <w:szCs w:val="20"/>
        </w:rPr>
        <w:t>, director o</w:t>
      </w:r>
      <w:r w:rsidR="001722FF" w:rsidRPr="007C18D9">
        <w:rPr>
          <w:rFonts w:ascii="Arial" w:hAnsi="Arial" w:cs="Arial"/>
          <w:szCs w:val="20"/>
        </w:rPr>
        <w:t xml:space="preserve">f software product management. </w:t>
      </w:r>
      <w:r w:rsidRPr="007C18D9">
        <w:rPr>
          <w:rFonts w:ascii="Arial" w:hAnsi="Arial" w:cs="Arial"/>
          <w:szCs w:val="20"/>
        </w:rPr>
        <w:t>“Additionally, machine automation users can access Autodesk documents through Enterprise and Sitelink3D.”</w:t>
      </w:r>
    </w:p>
    <w:p w14:paraId="77FD6820" w14:textId="77777777" w:rsidR="00632A63" w:rsidRPr="007C18D9" w:rsidRDefault="00632A63" w:rsidP="00632A63">
      <w:pPr>
        <w:rPr>
          <w:rFonts w:ascii="Arial" w:hAnsi="Arial" w:cs="Arial"/>
          <w:szCs w:val="20"/>
        </w:rPr>
      </w:pPr>
    </w:p>
    <w:p w14:paraId="4F907974" w14:textId="77777777" w:rsidR="00632A63" w:rsidRPr="007C18D9" w:rsidRDefault="00632A63" w:rsidP="00632A63">
      <w:pPr>
        <w:rPr>
          <w:rFonts w:ascii="Arial" w:hAnsi="Arial" w:cs="Arial"/>
          <w:szCs w:val="20"/>
        </w:rPr>
      </w:pPr>
      <w:r w:rsidRPr="007C18D9">
        <w:rPr>
          <w:rFonts w:ascii="Arial" w:hAnsi="Arial" w:cs="Arial"/>
          <w:szCs w:val="20"/>
        </w:rPr>
        <w:t xml:space="preserve">“The cloud connectivity is another example of Topcon and Autodesk continuing to work together to provide our users the most concise and succinct workflow through collaboration and commitment to openness in our software,” said </w:t>
      </w:r>
      <w:proofErr w:type="spellStart"/>
      <w:r w:rsidRPr="007C18D9">
        <w:rPr>
          <w:rFonts w:ascii="Arial" w:hAnsi="Arial" w:cs="Arial"/>
          <w:szCs w:val="20"/>
        </w:rPr>
        <w:t>Ahl</w:t>
      </w:r>
      <w:proofErr w:type="spellEnd"/>
      <w:r w:rsidRPr="007C18D9">
        <w:rPr>
          <w:rFonts w:ascii="Arial" w:hAnsi="Arial" w:cs="Arial"/>
          <w:szCs w:val="20"/>
        </w:rPr>
        <w:t>.</w:t>
      </w:r>
    </w:p>
    <w:p w14:paraId="74902B48" w14:textId="77777777" w:rsidR="00632A63" w:rsidRPr="007C18D9" w:rsidRDefault="00632A63" w:rsidP="00632A63">
      <w:pPr>
        <w:rPr>
          <w:rFonts w:ascii="Arial" w:hAnsi="Arial" w:cs="Arial"/>
          <w:szCs w:val="20"/>
        </w:rPr>
      </w:pPr>
    </w:p>
    <w:p w14:paraId="59D968AF" w14:textId="77777777" w:rsidR="00632A63" w:rsidRPr="007C18D9" w:rsidRDefault="00632A63" w:rsidP="00632A63">
      <w:pPr>
        <w:rPr>
          <w:rFonts w:ascii="Arial" w:hAnsi="Arial" w:cs="Arial"/>
          <w:szCs w:val="20"/>
        </w:rPr>
      </w:pPr>
      <w:r w:rsidRPr="007C18D9">
        <w:rPr>
          <w:rFonts w:ascii="Arial" w:hAnsi="Arial" w:cs="Arial"/>
          <w:szCs w:val="20"/>
        </w:rPr>
        <w:t xml:space="preserve">The software is expected for release in February of this year. </w:t>
      </w:r>
    </w:p>
    <w:p w14:paraId="0491E169" w14:textId="77777777" w:rsidR="00632A63" w:rsidRPr="007C18D9" w:rsidRDefault="00632A63" w:rsidP="00632A63">
      <w:pPr>
        <w:rPr>
          <w:rFonts w:ascii="Arial" w:hAnsi="Arial" w:cs="Arial"/>
          <w:szCs w:val="20"/>
        </w:rPr>
      </w:pPr>
    </w:p>
    <w:p w14:paraId="6B8138D5" w14:textId="77777777" w:rsidR="00632A63" w:rsidRPr="007C18D9" w:rsidRDefault="00632A63" w:rsidP="00632A63">
      <w:pPr>
        <w:rPr>
          <w:rFonts w:ascii="Arial" w:hAnsi="Arial" w:cs="Arial"/>
          <w:bCs/>
          <w:szCs w:val="20"/>
          <w:lang w:val="en-AU"/>
        </w:rPr>
      </w:pPr>
      <w:r w:rsidRPr="007C18D9">
        <w:rPr>
          <w:rFonts w:ascii="Arial" w:hAnsi="Arial" w:cs="Arial"/>
          <w:szCs w:val="20"/>
        </w:rPr>
        <w:t xml:space="preserve">For more information, visit </w:t>
      </w:r>
      <w:hyperlink r:id="rId9" w:history="1">
        <w:r w:rsidRPr="007C18D9">
          <w:rPr>
            <w:rStyle w:val="Hyperlink"/>
            <w:rFonts w:ascii="Arial" w:hAnsi="Arial" w:cs="Arial"/>
            <w:szCs w:val="20"/>
          </w:rPr>
          <w:t>topconpositioning.com</w:t>
        </w:r>
      </w:hyperlink>
      <w:r w:rsidRPr="007C18D9">
        <w:rPr>
          <w:rFonts w:ascii="Arial" w:hAnsi="Arial" w:cs="Arial"/>
          <w:szCs w:val="20"/>
        </w:rPr>
        <w:t>.</w:t>
      </w:r>
    </w:p>
    <w:p w14:paraId="245EA601" w14:textId="14E5C29D" w:rsidR="00F96246" w:rsidRPr="00FB28CB" w:rsidRDefault="00F96246" w:rsidP="00632A63">
      <w:pPr>
        <w:rPr>
          <w:rFonts w:ascii="Arial" w:hAnsi="Arial" w:cs="Arial"/>
          <w:bCs/>
          <w:sz w:val="21"/>
          <w:szCs w:val="20"/>
          <w:lang w:val="en-AU"/>
        </w:rPr>
      </w:pPr>
    </w:p>
    <w:p w14:paraId="50781AD0" w14:textId="5FA1F259" w:rsidR="002A070C" w:rsidRPr="00D42632" w:rsidRDefault="002A070C" w:rsidP="00827142">
      <w:pPr>
        <w:rPr>
          <w:rFonts w:ascii="Arial" w:hAnsi="Arial" w:cs="Arial"/>
          <w:sz w:val="8"/>
          <w:szCs w:val="20"/>
        </w:rPr>
      </w:pPr>
    </w:p>
    <w:p w14:paraId="0FEB1474" w14:textId="066CEE7B" w:rsidR="00BE666D" w:rsidRPr="007C18D9" w:rsidRDefault="00F61E29" w:rsidP="00F61E29">
      <w:pPr>
        <w:rPr>
          <w:rFonts w:ascii="Arial" w:hAnsi="Arial" w:cs="Arial"/>
          <w:color w:val="808080" w:themeColor="background1" w:themeShade="80"/>
          <w:sz w:val="18"/>
          <w:szCs w:val="18"/>
        </w:rPr>
      </w:pPr>
      <w:r w:rsidRPr="007C18D9">
        <w:rPr>
          <w:rFonts w:ascii="Arial" w:hAnsi="Arial" w:cs="Arial"/>
          <w:b/>
          <w:color w:val="808080" w:themeColor="background1" w:themeShade="80"/>
          <w:sz w:val="18"/>
          <w:szCs w:val="18"/>
        </w:rPr>
        <w:t xml:space="preserve">About Topcon Positioning Group </w:t>
      </w:r>
      <w:r w:rsidRPr="007C18D9">
        <w:rPr>
          <w:rFonts w:ascii="Arial" w:hAnsi="Arial" w:cs="Arial"/>
          <w:b/>
          <w:color w:val="808080" w:themeColor="background1" w:themeShade="80"/>
          <w:sz w:val="18"/>
          <w:szCs w:val="18"/>
        </w:rPr>
        <w:br/>
      </w:r>
      <w:r w:rsidR="002A070C" w:rsidRPr="007C18D9">
        <w:rPr>
          <w:rFonts w:ascii="Arial" w:hAnsi="Arial" w:cs="Arial"/>
          <w:color w:val="808080" w:themeColor="background1" w:themeShade="80"/>
          <w:sz w:val="18"/>
          <w:szCs w:val="18"/>
        </w:rPr>
        <w:t>Topcon Positioning Group is headquartered in Livermore, California, U.S. (</w:t>
      </w:r>
      <w:hyperlink r:id="rId10" w:history="1">
        <w:r w:rsidR="002A070C" w:rsidRPr="007C18D9">
          <w:rPr>
            <w:rStyle w:val="Hyperlink"/>
            <w:rFonts w:ascii="Arial" w:hAnsi="Arial" w:cs="Arial"/>
            <w:sz w:val="18"/>
            <w:szCs w:val="18"/>
          </w:rPr>
          <w:t>topconpositioning.com</w:t>
        </w:r>
      </w:hyperlink>
      <w:r w:rsidR="002A070C" w:rsidRPr="007C18D9">
        <w:rPr>
          <w:rFonts w:ascii="Arial" w:hAnsi="Arial" w:cs="Arial"/>
          <w:color w:val="808080" w:themeColor="background1" w:themeShade="80"/>
          <w:sz w:val="18"/>
          <w:szCs w:val="18"/>
        </w:rPr>
        <w:t xml:space="preserve">). Its European head office is in </w:t>
      </w:r>
      <w:proofErr w:type="spellStart"/>
      <w:r w:rsidR="002A070C" w:rsidRPr="007C18D9">
        <w:rPr>
          <w:rFonts w:ascii="Arial" w:hAnsi="Arial" w:cs="Arial"/>
          <w:color w:val="808080" w:themeColor="background1" w:themeShade="80"/>
          <w:sz w:val="18"/>
          <w:szCs w:val="18"/>
        </w:rPr>
        <w:t>Capel</w:t>
      </w:r>
      <w:r w:rsidR="00995B68" w:rsidRPr="007C18D9">
        <w:rPr>
          <w:rFonts w:ascii="Arial" w:hAnsi="Arial" w:cs="Arial"/>
          <w:color w:val="808080" w:themeColor="background1" w:themeShade="80"/>
          <w:sz w:val="18"/>
          <w:szCs w:val="18"/>
        </w:rPr>
        <w:t>le</w:t>
      </w:r>
      <w:proofErr w:type="spellEnd"/>
      <w:r w:rsidR="00995B68" w:rsidRPr="007C18D9">
        <w:rPr>
          <w:rFonts w:ascii="Arial" w:hAnsi="Arial" w:cs="Arial"/>
          <w:color w:val="808080" w:themeColor="background1" w:themeShade="80"/>
          <w:sz w:val="18"/>
          <w:szCs w:val="18"/>
        </w:rPr>
        <w:t xml:space="preserve"> </w:t>
      </w:r>
      <w:proofErr w:type="spellStart"/>
      <w:r w:rsidR="00995B68" w:rsidRPr="007C18D9">
        <w:rPr>
          <w:rFonts w:ascii="Arial" w:hAnsi="Arial" w:cs="Arial"/>
          <w:color w:val="808080" w:themeColor="background1" w:themeShade="80"/>
          <w:sz w:val="18"/>
          <w:szCs w:val="18"/>
        </w:rPr>
        <w:t>a/d</w:t>
      </w:r>
      <w:proofErr w:type="spellEnd"/>
      <w:r w:rsidR="00995B68" w:rsidRPr="007C18D9">
        <w:rPr>
          <w:rFonts w:ascii="Arial" w:hAnsi="Arial" w:cs="Arial"/>
          <w:color w:val="808080" w:themeColor="background1" w:themeShade="80"/>
          <w:sz w:val="18"/>
          <w:szCs w:val="18"/>
        </w:rPr>
        <w:t xml:space="preserve"> </w:t>
      </w:r>
      <w:proofErr w:type="spellStart"/>
      <w:r w:rsidR="00995B68" w:rsidRPr="007C18D9">
        <w:rPr>
          <w:rFonts w:ascii="Arial" w:hAnsi="Arial" w:cs="Arial"/>
          <w:color w:val="808080" w:themeColor="background1" w:themeShade="80"/>
          <w:sz w:val="18"/>
          <w:szCs w:val="18"/>
        </w:rPr>
        <w:t>IJssel</w:t>
      </w:r>
      <w:proofErr w:type="spellEnd"/>
      <w:r w:rsidR="00995B68" w:rsidRPr="007C18D9">
        <w:rPr>
          <w:rFonts w:ascii="Arial" w:hAnsi="Arial" w:cs="Arial"/>
          <w:color w:val="808080" w:themeColor="background1" w:themeShade="80"/>
          <w:sz w:val="18"/>
          <w:szCs w:val="18"/>
        </w:rPr>
        <w:t xml:space="preserve">, the Netherlands. </w:t>
      </w:r>
      <w:r w:rsidR="002A070C" w:rsidRPr="007C18D9">
        <w:rPr>
          <w:rFonts w:ascii="Arial" w:hAnsi="Arial" w:cs="Arial"/>
          <w:color w:val="808080" w:themeColor="background1" w:themeShade="80"/>
          <w:sz w:val="18"/>
          <w:szCs w:val="18"/>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1" w:history="1">
        <w:r w:rsidR="002A070C" w:rsidRPr="007C18D9">
          <w:rPr>
            <w:rStyle w:val="Hyperlink"/>
            <w:rFonts w:ascii="Arial" w:hAnsi="Arial" w:cs="Arial"/>
            <w:sz w:val="18"/>
            <w:szCs w:val="18"/>
          </w:rPr>
          <w:t>topcon.com</w:t>
        </w:r>
      </w:hyperlink>
      <w:r w:rsidR="002A070C" w:rsidRPr="007C18D9">
        <w:rPr>
          <w:rFonts w:ascii="Arial" w:hAnsi="Arial" w:cs="Arial"/>
          <w:color w:val="808080" w:themeColor="background1" w:themeShade="80"/>
          <w:sz w:val="18"/>
          <w:szCs w:val="18"/>
        </w:rPr>
        <w:t>), founded in 1932, is traded on t</w:t>
      </w:r>
      <w:r w:rsidR="00BE666D" w:rsidRPr="007C18D9">
        <w:rPr>
          <w:rFonts w:ascii="Arial" w:hAnsi="Arial" w:cs="Arial"/>
          <w:color w:val="808080" w:themeColor="background1" w:themeShade="80"/>
          <w:sz w:val="18"/>
          <w:szCs w:val="18"/>
        </w:rPr>
        <w:t>he Tokyo Stock Exchange (7732).</w:t>
      </w:r>
    </w:p>
    <w:p w14:paraId="4D7D5DE9" w14:textId="77777777" w:rsidR="001722FF" w:rsidRPr="007C18D9" w:rsidRDefault="001722FF" w:rsidP="00F61E29">
      <w:pPr>
        <w:rPr>
          <w:rFonts w:ascii="Arial" w:hAnsi="Arial" w:cs="Arial"/>
          <w:color w:val="808080" w:themeColor="background1" w:themeShade="80"/>
          <w:sz w:val="13"/>
          <w:szCs w:val="18"/>
        </w:rPr>
      </w:pPr>
    </w:p>
    <w:p w14:paraId="4AADD657" w14:textId="1C058A60" w:rsidR="00BE666D" w:rsidRPr="007C18D9" w:rsidRDefault="00F61E29" w:rsidP="00F61E29">
      <w:pPr>
        <w:jc w:val="center"/>
        <w:rPr>
          <w:rFonts w:ascii="Arial" w:hAnsi="Arial" w:cs="Arial"/>
          <w:color w:val="808080" w:themeColor="background1" w:themeShade="80"/>
          <w:sz w:val="18"/>
          <w:szCs w:val="18"/>
        </w:rPr>
      </w:pPr>
      <w:r w:rsidRPr="007C18D9">
        <w:rPr>
          <w:rFonts w:ascii="Arial" w:hAnsi="Arial" w:cs="Arial"/>
          <w:color w:val="808080" w:themeColor="background1" w:themeShade="80"/>
          <w:sz w:val="18"/>
          <w:szCs w:val="18"/>
        </w:rPr>
        <w:t># # #</w:t>
      </w:r>
    </w:p>
    <w:p w14:paraId="56D02AFB" w14:textId="77777777" w:rsidR="00F61E29" w:rsidRPr="007C18D9" w:rsidRDefault="00F61E29" w:rsidP="00F61E29">
      <w:pPr>
        <w:outlineLvl w:val="0"/>
        <w:rPr>
          <w:rFonts w:ascii="Arial" w:hAnsi="Arial" w:cs="Arial"/>
          <w:b/>
          <w:color w:val="808080" w:themeColor="background1" w:themeShade="80"/>
          <w:sz w:val="18"/>
          <w:szCs w:val="18"/>
        </w:rPr>
      </w:pPr>
      <w:r w:rsidRPr="007C18D9">
        <w:rPr>
          <w:rFonts w:ascii="Arial" w:hAnsi="Arial" w:cs="Arial"/>
          <w:b/>
          <w:color w:val="808080" w:themeColor="background1" w:themeShade="80"/>
          <w:sz w:val="18"/>
          <w:szCs w:val="18"/>
        </w:rPr>
        <w:t xml:space="preserve">Press Contact: </w:t>
      </w:r>
    </w:p>
    <w:p w14:paraId="0B0DC8C3" w14:textId="77777777" w:rsidR="00F61E29" w:rsidRPr="007C18D9" w:rsidRDefault="00F61E29" w:rsidP="00F61E29">
      <w:pPr>
        <w:outlineLvl w:val="0"/>
        <w:rPr>
          <w:rFonts w:ascii="Arial" w:hAnsi="Arial" w:cs="Arial"/>
          <w:bCs/>
          <w:color w:val="808080" w:themeColor="background1" w:themeShade="80"/>
          <w:sz w:val="18"/>
          <w:szCs w:val="18"/>
        </w:rPr>
      </w:pPr>
      <w:r w:rsidRPr="007C18D9">
        <w:rPr>
          <w:rFonts w:ascii="Arial" w:hAnsi="Arial" w:cs="Arial"/>
          <w:bCs/>
          <w:color w:val="808080" w:themeColor="background1" w:themeShade="80"/>
          <w:sz w:val="18"/>
          <w:szCs w:val="18"/>
        </w:rPr>
        <w:t>Topcon Positioning Group</w:t>
      </w:r>
    </w:p>
    <w:p w14:paraId="2ADB91B2" w14:textId="77777777" w:rsidR="00F61E29" w:rsidRPr="007C18D9" w:rsidRDefault="00142D52" w:rsidP="00F61E29">
      <w:pPr>
        <w:outlineLvl w:val="0"/>
        <w:rPr>
          <w:rFonts w:ascii="Arial" w:hAnsi="Arial" w:cs="Arial"/>
          <w:bCs/>
          <w:color w:val="808080" w:themeColor="background1" w:themeShade="80"/>
          <w:sz w:val="18"/>
          <w:szCs w:val="18"/>
          <w:lang w:val="it-IT"/>
        </w:rPr>
      </w:pPr>
      <w:hyperlink r:id="rId12" w:history="1">
        <w:r w:rsidR="00F61E29" w:rsidRPr="007C18D9">
          <w:rPr>
            <w:rStyle w:val="Hyperlink"/>
            <w:rFonts w:ascii="Arial" w:hAnsi="Arial" w:cs="Arial"/>
            <w:bCs/>
            <w:color w:val="808080" w:themeColor="background1" w:themeShade="80"/>
            <w:sz w:val="18"/>
            <w:szCs w:val="18"/>
            <w:lang w:val="it-IT"/>
          </w:rPr>
          <w:t>CorpComm@topcon.com</w:t>
        </w:r>
      </w:hyperlink>
    </w:p>
    <w:p w14:paraId="22244F9C" w14:textId="44FA0EBE" w:rsidR="00BE666D" w:rsidRPr="007C18D9" w:rsidRDefault="00FD1C0E" w:rsidP="00FD1C0E">
      <w:pPr>
        <w:outlineLvl w:val="0"/>
        <w:rPr>
          <w:rFonts w:ascii="Arial" w:hAnsi="Arial" w:cs="Arial"/>
          <w:bCs/>
          <w:color w:val="808080" w:themeColor="background1" w:themeShade="80"/>
          <w:sz w:val="18"/>
          <w:szCs w:val="18"/>
        </w:rPr>
      </w:pPr>
      <w:r w:rsidRPr="007C18D9">
        <w:rPr>
          <w:rFonts w:ascii="Arial" w:hAnsi="Arial" w:cs="Arial"/>
          <w:bCs/>
          <w:color w:val="808080" w:themeColor="background1" w:themeShade="80"/>
          <w:sz w:val="18"/>
          <w:szCs w:val="18"/>
        </w:rPr>
        <w:t xml:space="preserve">Staci Fitzgerald, +1 925-245-8610 </w:t>
      </w:r>
      <w:r w:rsidRPr="007C18D9">
        <w:rPr>
          <w:rFonts w:ascii="Arial" w:hAnsi="Arial" w:cs="Arial"/>
          <w:bCs/>
          <w:color w:val="808080" w:themeColor="background1" w:themeShade="80"/>
          <w:sz w:val="18"/>
          <w:szCs w:val="18"/>
        </w:rPr>
        <w:br/>
      </w:r>
    </w:p>
    <w:p w14:paraId="0A116BCA" w14:textId="63BDE0FB" w:rsidR="00D42632" w:rsidRPr="007C18D9" w:rsidRDefault="00D42632" w:rsidP="00FD1C0E">
      <w:pPr>
        <w:outlineLvl w:val="0"/>
        <w:rPr>
          <w:rFonts w:ascii="Arial" w:hAnsi="Arial" w:cs="Arial"/>
          <w:bCs/>
          <w:color w:val="808080" w:themeColor="background1" w:themeShade="80"/>
          <w:sz w:val="18"/>
          <w:szCs w:val="18"/>
        </w:rPr>
      </w:pPr>
      <w:r w:rsidRPr="007C18D9">
        <w:rPr>
          <w:rFonts w:ascii="Arial" w:hAnsi="Arial" w:cs="Arial"/>
          <w:bCs/>
          <w:i/>
          <w:iCs/>
          <w:color w:val="808080" w:themeColor="background1" w:themeShade="80"/>
          <w:sz w:val="18"/>
          <w:szCs w:val="18"/>
        </w:rPr>
        <w:t>Autodesk and BIM 360 are registered trademarks or trademarks of Autodesk, Inc., in the USA and/or other countries. All other brand names, product names, or trademarks belong to their respective holders.</w:t>
      </w:r>
      <w:r w:rsidRPr="007C18D9">
        <w:rPr>
          <w:rFonts w:ascii="Arial" w:hAnsi="Arial" w:cs="Arial"/>
          <w:bCs/>
          <w:color w:val="808080" w:themeColor="background1" w:themeShade="80"/>
          <w:sz w:val="18"/>
          <w:szCs w:val="18"/>
        </w:rPr>
        <w:t>  </w:t>
      </w:r>
    </w:p>
    <w:sectPr w:rsidR="00D42632" w:rsidRPr="007C18D9" w:rsidSect="0065235A">
      <w:headerReference w:type="first" r:id="rId13"/>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5607F" w14:textId="77777777" w:rsidR="00142D52" w:rsidRDefault="00142D52">
      <w:r>
        <w:separator/>
      </w:r>
    </w:p>
  </w:endnote>
  <w:endnote w:type="continuationSeparator" w:id="0">
    <w:p w14:paraId="30DAEF52" w14:textId="77777777" w:rsidR="00142D52" w:rsidRDefault="00142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128D4" w14:textId="77777777" w:rsidR="00142D52" w:rsidRDefault="00142D52">
      <w:r>
        <w:separator/>
      </w:r>
    </w:p>
  </w:footnote>
  <w:footnote w:type="continuationSeparator" w:id="0">
    <w:p w14:paraId="3B7941A4" w14:textId="77777777" w:rsidR="00142D52" w:rsidRDefault="00142D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0F79AB"/>
    <w:rsid w:val="0010107F"/>
    <w:rsid w:val="00105D3C"/>
    <w:rsid w:val="001269F8"/>
    <w:rsid w:val="00130BEA"/>
    <w:rsid w:val="00142D52"/>
    <w:rsid w:val="00163F32"/>
    <w:rsid w:val="001722FF"/>
    <w:rsid w:val="00177523"/>
    <w:rsid w:val="001855FB"/>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2158"/>
    <w:rsid w:val="002B32F1"/>
    <w:rsid w:val="002B65A9"/>
    <w:rsid w:val="002E2BC8"/>
    <w:rsid w:val="002E5E21"/>
    <w:rsid w:val="002F29C4"/>
    <w:rsid w:val="00313F6E"/>
    <w:rsid w:val="003163AA"/>
    <w:rsid w:val="0032173B"/>
    <w:rsid w:val="003217F4"/>
    <w:rsid w:val="00340920"/>
    <w:rsid w:val="003507A9"/>
    <w:rsid w:val="00353911"/>
    <w:rsid w:val="00355294"/>
    <w:rsid w:val="003801D4"/>
    <w:rsid w:val="0038352E"/>
    <w:rsid w:val="0039761D"/>
    <w:rsid w:val="003A6C06"/>
    <w:rsid w:val="003A7243"/>
    <w:rsid w:val="003B1941"/>
    <w:rsid w:val="003B200E"/>
    <w:rsid w:val="003B4135"/>
    <w:rsid w:val="003C3E10"/>
    <w:rsid w:val="003C6648"/>
    <w:rsid w:val="003F134C"/>
    <w:rsid w:val="003F5E34"/>
    <w:rsid w:val="00412292"/>
    <w:rsid w:val="00413E95"/>
    <w:rsid w:val="00416269"/>
    <w:rsid w:val="0043387D"/>
    <w:rsid w:val="00433A38"/>
    <w:rsid w:val="0046547D"/>
    <w:rsid w:val="00471166"/>
    <w:rsid w:val="00482A23"/>
    <w:rsid w:val="00486106"/>
    <w:rsid w:val="004A2594"/>
    <w:rsid w:val="004B7B79"/>
    <w:rsid w:val="004C2A52"/>
    <w:rsid w:val="004C4705"/>
    <w:rsid w:val="004C77DD"/>
    <w:rsid w:val="004C7DC9"/>
    <w:rsid w:val="004D399D"/>
    <w:rsid w:val="004F0BDC"/>
    <w:rsid w:val="00513E5B"/>
    <w:rsid w:val="00527B70"/>
    <w:rsid w:val="005378E1"/>
    <w:rsid w:val="005502C7"/>
    <w:rsid w:val="0058710D"/>
    <w:rsid w:val="00587A94"/>
    <w:rsid w:val="005A23A0"/>
    <w:rsid w:val="005A4B01"/>
    <w:rsid w:val="005C44F8"/>
    <w:rsid w:val="005C48E8"/>
    <w:rsid w:val="005C7305"/>
    <w:rsid w:val="005D1B0B"/>
    <w:rsid w:val="005F0C86"/>
    <w:rsid w:val="005F3D0B"/>
    <w:rsid w:val="005F4AA3"/>
    <w:rsid w:val="006103A4"/>
    <w:rsid w:val="0061068D"/>
    <w:rsid w:val="006112E8"/>
    <w:rsid w:val="00612FA3"/>
    <w:rsid w:val="0061580F"/>
    <w:rsid w:val="00616127"/>
    <w:rsid w:val="00617F10"/>
    <w:rsid w:val="00622524"/>
    <w:rsid w:val="006274D0"/>
    <w:rsid w:val="0063192D"/>
    <w:rsid w:val="00632A63"/>
    <w:rsid w:val="00637E81"/>
    <w:rsid w:val="0064309C"/>
    <w:rsid w:val="006456AE"/>
    <w:rsid w:val="0065235A"/>
    <w:rsid w:val="00653C74"/>
    <w:rsid w:val="006643CB"/>
    <w:rsid w:val="006713DD"/>
    <w:rsid w:val="006926B3"/>
    <w:rsid w:val="006A0908"/>
    <w:rsid w:val="006B2A9A"/>
    <w:rsid w:val="006B373F"/>
    <w:rsid w:val="006C6B2E"/>
    <w:rsid w:val="006D3CF8"/>
    <w:rsid w:val="006E05C2"/>
    <w:rsid w:val="006E2F31"/>
    <w:rsid w:val="006F2B49"/>
    <w:rsid w:val="0071332E"/>
    <w:rsid w:val="00726EF7"/>
    <w:rsid w:val="007530F6"/>
    <w:rsid w:val="00756005"/>
    <w:rsid w:val="007605FA"/>
    <w:rsid w:val="00765F8C"/>
    <w:rsid w:val="00773A4C"/>
    <w:rsid w:val="0078639E"/>
    <w:rsid w:val="00790F45"/>
    <w:rsid w:val="007B0EFE"/>
    <w:rsid w:val="007B2ADF"/>
    <w:rsid w:val="007B3233"/>
    <w:rsid w:val="007C18D9"/>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D0202"/>
    <w:rsid w:val="008F54A3"/>
    <w:rsid w:val="009115C1"/>
    <w:rsid w:val="00911FD9"/>
    <w:rsid w:val="009434F4"/>
    <w:rsid w:val="00953F3D"/>
    <w:rsid w:val="00956EF7"/>
    <w:rsid w:val="009666D5"/>
    <w:rsid w:val="00975493"/>
    <w:rsid w:val="009914F1"/>
    <w:rsid w:val="00995B68"/>
    <w:rsid w:val="009964DE"/>
    <w:rsid w:val="009C3261"/>
    <w:rsid w:val="00A06D66"/>
    <w:rsid w:val="00A36D45"/>
    <w:rsid w:val="00A36FC5"/>
    <w:rsid w:val="00A47E24"/>
    <w:rsid w:val="00A53662"/>
    <w:rsid w:val="00A57BD4"/>
    <w:rsid w:val="00A60195"/>
    <w:rsid w:val="00A9365C"/>
    <w:rsid w:val="00A95736"/>
    <w:rsid w:val="00A976A5"/>
    <w:rsid w:val="00AA2A43"/>
    <w:rsid w:val="00AA5C55"/>
    <w:rsid w:val="00AB0ED7"/>
    <w:rsid w:val="00AB50D8"/>
    <w:rsid w:val="00AC09BA"/>
    <w:rsid w:val="00AE6481"/>
    <w:rsid w:val="00B402B7"/>
    <w:rsid w:val="00B4058E"/>
    <w:rsid w:val="00B64457"/>
    <w:rsid w:val="00B92736"/>
    <w:rsid w:val="00B92C56"/>
    <w:rsid w:val="00B92CFE"/>
    <w:rsid w:val="00BA6826"/>
    <w:rsid w:val="00BB19B5"/>
    <w:rsid w:val="00BB25D3"/>
    <w:rsid w:val="00BB4455"/>
    <w:rsid w:val="00BC6358"/>
    <w:rsid w:val="00BD71D0"/>
    <w:rsid w:val="00BE5DE2"/>
    <w:rsid w:val="00BE666D"/>
    <w:rsid w:val="00BF1DD5"/>
    <w:rsid w:val="00BF37F1"/>
    <w:rsid w:val="00C01690"/>
    <w:rsid w:val="00C03ADA"/>
    <w:rsid w:val="00C23A3B"/>
    <w:rsid w:val="00C24DBF"/>
    <w:rsid w:val="00C31391"/>
    <w:rsid w:val="00C33DB6"/>
    <w:rsid w:val="00C638D1"/>
    <w:rsid w:val="00C71809"/>
    <w:rsid w:val="00C7597C"/>
    <w:rsid w:val="00C817C9"/>
    <w:rsid w:val="00C92C21"/>
    <w:rsid w:val="00C94FD7"/>
    <w:rsid w:val="00C958B3"/>
    <w:rsid w:val="00CD3455"/>
    <w:rsid w:val="00CD3535"/>
    <w:rsid w:val="00CE188F"/>
    <w:rsid w:val="00CE7843"/>
    <w:rsid w:val="00CF403B"/>
    <w:rsid w:val="00CF749B"/>
    <w:rsid w:val="00CF7FC5"/>
    <w:rsid w:val="00D06CD0"/>
    <w:rsid w:val="00D1630B"/>
    <w:rsid w:val="00D21DEA"/>
    <w:rsid w:val="00D250E6"/>
    <w:rsid w:val="00D42632"/>
    <w:rsid w:val="00D47414"/>
    <w:rsid w:val="00D55832"/>
    <w:rsid w:val="00D62FA8"/>
    <w:rsid w:val="00D6369D"/>
    <w:rsid w:val="00D647FC"/>
    <w:rsid w:val="00D6784A"/>
    <w:rsid w:val="00D70782"/>
    <w:rsid w:val="00D70AF0"/>
    <w:rsid w:val="00D70EE2"/>
    <w:rsid w:val="00D91CF0"/>
    <w:rsid w:val="00D979CB"/>
    <w:rsid w:val="00DA66FE"/>
    <w:rsid w:val="00DC60A0"/>
    <w:rsid w:val="00DE3ED4"/>
    <w:rsid w:val="00E07F73"/>
    <w:rsid w:val="00E16158"/>
    <w:rsid w:val="00E32B47"/>
    <w:rsid w:val="00E618B9"/>
    <w:rsid w:val="00E74974"/>
    <w:rsid w:val="00E95EFF"/>
    <w:rsid w:val="00EB1000"/>
    <w:rsid w:val="00EC3044"/>
    <w:rsid w:val="00ED70D3"/>
    <w:rsid w:val="00EE1C16"/>
    <w:rsid w:val="00EE33D2"/>
    <w:rsid w:val="00F20CD6"/>
    <w:rsid w:val="00F25765"/>
    <w:rsid w:val="00F377BB"/>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28C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opconpositioning.com/services-support/cloud-services/magnet-enterprise" TargetMode="External"/><Relationship Id="rId9" Type="http://schemas.openxmlformats.org/officeDocument/2006/relationships/hyperlink" Target="https://www.topconpositioning.com/"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5C086-3772-B44F-AB57-050287F70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389</Words>
  <Characters>2218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2602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11</cp:revision>
  <cp:lastPrinted>2015-08-13T12:52:00Z</cp:lastPrinted>
  <dcterms:created xsi:type="dcterms:W3CDTF">2018-01-18T18:04:00Z</dcterms:created>
  <dcterms:modified xsi:type="dcterms:W3CDTF">2018-01-23T20:33:00Z</dcterms:modified>
  <cp:category/>
</cp:coreProperties>
</file>