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2D503" w14:textId="61694D03" w:rsidR="00764BCB" w:rsidRDefault="00E66921" w:rsidP="000A54C5">
      <w:pPr>
        <w:jc w:val="center"/>
        <w:rPr>
          <w:rFonts w:ascii="Arial" w:hAnsi="Arial" w:cs="Arial"/>
          <w:b/>
          <w:color w:val="007AC2"/>
          <w:sz w:val="36"/>
          <w:szCs w:val="36"/>
          <w:lang w:val="en"/>
        </w:rPr>
      </w:pPr>
      <w:r>
        <w:rPr>
          <w:rFonts w:ascii="Times New Roman" w:hAnsi="Times New Roman" w:cs="Times New Roman"/>
          <w:b/>
          <w:noProof/>
          <w:sz w:val="24"/>
          <w:szCs w:val="24"/>
        </w:rPr>
        <w:drawing>
          <wp:inline distT="0" distB="0" distL="0" distR="0" wp14:anchorId="1FBC45A2" wp14:editId="03E1592F">
            <wp:extent cx="2192722" cy="1232798"/>
            <wp:effectExtent l="0" t="0" r="0"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X25_UC7_thumnail.jpg"/>
                    <pic:cNvPicPr/>
                  </pic:nvPicPr>
                  <pic:blipFill>
                    <a:blip r:embed="rId7">
                      <a:extLst>
                        <a:ext uri="{28A0092B-C50C-407E-A947-70E740481C1C}">
                          <a14:useLocalDpi xmlns:a14="http://schemas.microsoft.com/office/drawing/2010/main" val="0"/>
                        </a:ext>
                      </a:extLst>
                    </a:blip>
                    <a:stretch>
                      <a:fillRect/>
                    </a:stretch>
                  </pic:blipFill>
                  <pic:spPr>
                    <a:xfrm>
                      <a:off x="0" y="0"/>
                      <a:ext cx="2242099" cy="1260559"/>
                    </a:xfrm>
                    <a:prstGeom prst="rect">
                      <a:avLst/>
                    </a:prstGeom>
                  </pic:spPr>
                </pic:pic>
              </a:graphicData>
            </a:graphic>
          </wp:inline>
        </w:drawing>
      </w:r>
    </w:p>
    <w:p w14:paraId="4983ADBF" w14:textId="1FC8784D" w:rsidR="00E96BB8" w:rsidRPr="00E66921" w:rsidRDefault="00E66921" w:rsidP="00E66921">
      <w:pPr>
        <w:jc w:val="center"/>
        <w:rPr>
          <w:rFonts w:ascii="Arial" w:hAnsi="Arial" w:cs="Arial"/>
          <w:b/>
          <w:color w:val="007AC2"/>
          <w:sz w:val="36"/>
          <w:szCs w:val="36"/>
        </w:rPr>
      </w:pPr>
      <w:r w:rsidRPr="00E66921">
        <w:rPr>
          <w:rFonts w:ascii="Arial" w:hAnsi="Arial" w:cs="Arial"/>
          <w:b/>
          <w:color w:val="007AC2"/>
          <w:sz w:val="36"/>
          <w:szCs w:val="36"/>
        </w:rPr>
        <w:t>Topcon Agriculture introduces new NORAC UC7</w:t>
      </w:r>
      <w:r>
        <w:rPr>
          <w:rFonts w:ascii="Arial" w:hAnsi="Arial" w:cs="Arial"/>
          <w:b/>
          <w:color w:val="007AC2"/>
          <w:sz w:val="36"/>
          <w:szCs w:val="36"/>
        </w:rPr>
        <w:br/>
      </w:r>
      <w:r w:rsidRPr="00E66921">
        <w:rPr>
          <w:rFonts w:ascii="Arial" w:hAnsi="Arial" w:cs="Arial"/>
          <w:b/>
          <w:color w:val="007AC2"/>
          <w:sz w:val="36"/>
          <w:szCs w:val="36"/>
        </w:rPr>
        <w:t xml:space="preserve"> all-in-one boom height control system</w:t>
      </w:r>
    </w:p>
    <w:p w14:paraId="1523B6F7" w14:textId="77777777" w:rsidR="00E66921" w:rsidRPr="00E66921" w:rsidRDefault="00E66921" w:rsidP="00E66921">
      <w:pPr>
        <w:spacing w:after="0" w:line="240" w:lineRule="auto"/>
        <w:rPr>
          <w:rFonts w:ascii="Arial" w:hAnsi="Arial" w:cs="Arial"/>
          <w:szCs w:val="24"/>
        </w:rPr>
      </w:pPr>
      <w:r w:rsidRPr="00E66921">
        <w:rPr>
          <w:rFonts w:ascii="Arial" w:hAnsi="Arial" w:cs="Arial"/>
          <w:i/>
          <w:szCs w:val="24"/>
        </w:rPr>
        <w:t xml:space="preserve">FORT ATKINSON, Wis. – February 14, 2017 – </w:t>
      </w:r>
      <w:r w:rsidRPr="00E66921">
        <w:rPr>
          <w:rFonts w:ascii="Arial" w:hAnsi="Arial" w:cs="Arial"/>
          <w:szCs w:val="24"/>
        </w:rPr>
        <w:t xml:space="preserve">Topcon Agriculture announces the next generation of boom height control with the new NORAC UC7 Control System. UC7 is an all-in-one boom height control system, capable of all levels of NORAC automated control, designed as the ideal solution for any operation. </w:t>
      </w:r>
    </w:p>
    <w:p w14:paraId="162EEA1D" w14:textId="77777777" w:rsidR="00E66921" w:rsidRPr="00E66921" w:rsidRDefault="00E66921" w:rsidP="00E66921">
      <w:pPr>
        <w:spacing w:after="0" w:line="240" w:lineRule="auto"/>
        <w:rPr>
          <w:rFonts w:ascii="Arial" w:hAnsi="Arial" w:cs="Arial"/>
          <w:szCs w:val="24"/>
        </w:rPr>
      </w:pPr>
    </w:p>
    <w:p w14:paraId="20D81FD9" w14:textId="377A7188" w:rsidR="00E66921" w:rsidRPr="00E66921" w:rsidRDefault="00E66921" w:rsidP="00E66921">
      <w:pPr>
        <w:spacing w:after="0" w:line="240" w:lineRule="auto"/>
        <w:rPr>
          <w:rFonts w:ascii="Arial" w:hAnsi="Arial" w:cs="Arial"/>
          <w:szCs w:val="24"/>
        </w:rPr>
      </w:pPr>
      <w:r w:rsidRPr="00E66921">
        <w:rPr>
          <w:rFonts w:ascii="Arial" w:hAnsi="Arial" w:cs="Arial"/>
          <w:szCs w:val="24"/>
        </w:rPr>
        <w:t xml:space="preserve">“The Topcon Agriculture </w:t>
      </w:r>
      <w:bookmarkStart w:id="0" w:name="_GoBack"/>
      <w:bookmarkEnd w:id="0"/>
      <w:r w:rsidRPr="00E66921">
        <w:rPr>
          <w:rFonts w:ascii="Arial" w:hAnsi="Arial" w:cs="Arial"/>
          <w:szCs w:val="24"/>
        </w:rPr>
        <w:t>portfolio now includes NORAC industry-leading boom height control systems, allowing farmers to reduce costs by applying at an ideal, automatically maintained height. Additionally, NORAC boom height control systems reduce boom damage and operator stress, increasing overall farming efficiency,” said Danea Armstrong, vice president of Global OEM Business for Topcon Agriculture.</w:t>
      </w:r>
    </w:p>
    <w:p w14:paraId="1E4A7BFC" w14:textId="77777777" w:rsidR="00E66921" w:rsidRPr="00E66921" w:rsidRDefault="00E66921" w:rsidP="00E66921">
      <w:pPr>
        <w:spacing w:after="0" w:line="240" w:lineRule="auto"/>
        <w:rPr>
          <w:rFonts w:ascii="Arial" w:hAnsi="Arial" w:cs="Arial"/>
          <w:szCs w:val="24"/>
        </w:rPr>
      </w:pPr>
    </w:p>
    <w:p w14:paraId="2A833635" w14:textId="77777777" w:rsidR="00E66921" w:rsidRPr="00E66921" w:rsidRDefault="00E66921" w:rsidP="00E66921">
      <w:pPr>
        <w:spacing w:after="0" w:line="240" w:lineRule="auto"/>
        <w:rPr>
          <w:rFonts w:ascii="Arial" w:hAnsi="Arial" w:cs="Arial"/>
          <w:szCs w:val="24"/>
        </w:rPr>
      </w:pPr>
      <w:r w:rsidRPr="00E66921">
        <w:rPr>
          <w:rFonts w:ascii="Arial" w:hAnsi="Arial" w:cs="Arial"/>
          <w:szCs w:val="24"/>
        </w:rPr>
        <w:t xml:space="preserve">Combining three modules into one from the NORAC UC5 Control System, UC7 reduces overall components, improving both installation and support efficiency. Whether a more advanced level of control is desired or a new feature is added, the system is easily updated as demands change. With the future in mind, UC7 is designed to take boom height control to the next level. </w:t>
      </w:r>
    </w:p>
    <w:p w14:paraId="06C369EC" w14:textId="77777777" w:rsidR="00E66921" w:rsidRPr="00E66921" w:rsidRDefault="00E66921" w:rsidP="00E66921">
      <w:pPr>
        <w:spacing w:after="0" w:line="240" w:lineRule="auto"/>
        <w:rPr>
          <w:rFonts w:ascii="Arial" w:hAnsi="Arial" w:cs="Arial"/>
          <w:szCs w:val="24"/>
        </w:rPr>
      </w:pPr>
    </w:p>
    <w:p w14:paraId="11C32DF9" w14:textId="77777777" w:rsidR="00E66921" w:rsidRPr="00E66921" w:rsidRDefault="00E66921" w:rsidP="00E66921">
      <w:pPr>
        <w:spacing w:after="0" w:line="240" w:lineRule="auto"/>
        <w:rPr>
          <w:rFonts w:ascii="Arial" w:hAnsi="Arial" w:cs="Arial"/>
          <w:szCs w:val="24"/>
        </w:rPr>
      </w:pPr>
      <w:r w:rsidRPr="00E66921">
        <w:rPr>
          <w:rFonts w:ascii="Arial" w:hAnsi="Arial" w:cs="Arial"/>
          <w:szCs w:val="24"/>
        </w:rPr>
        <w:t>Armstrong said,</w:t>
      </w:r>
      <w:r w:rsidRPr="00E66921">
        <w:rPr>
          <w:rFonts w:ascii="Arial" w:hAnsi="Arial" w:cs="Arial"/>
          <w:b/>
          <w:szCs w:val="24"/>
        </w:rPr>
        <w:t xml:space="preserve"> </w:t>
      </w:r>
      <w:r w:rsidRPr="00E66921">
        <w:rPr>
          <w:rFonts w:ascii="Arial" w:hAnsi="Arial" w:cs="Arial"/>
          <w:szCs w:val="24"/>
        </w:rPr>
        <w:t xml:space="preserve">“Offering varying levels of control, UC7 adapts to changing demands — from Standard Control™ to the breakthrough Active Roll™ technology, the system is easily altered by updating the UC7 control module via USB. It’s also compatible with Universal Terminal (UT) displays, enabling smooth integration for virtually any operation, truly making it the most robust boom height control system on the market. </w:t>
      </w:r>
    </w:p>
    <w:p w14:paraId="07C75585" w14:textId="77777777" w:rsidR="00E66921" w:rsidRPr="00E66921" w:rsidRDefault="00E66921" w:rsidP="00E66921">
      <w:pPr>
        <w:spacing w:after="0" w:line="240" w:lineRule="auto"/>
        <w:rPr>
          <w:rFonts w:ascii="Arial" w:hAnsi="Arial" w:cs="Arial"/>
          <w:szCs w:val="24"/>
        </w:rPr>
      </w:pPr>
    </w:p>
    <w:p w14:paraId="05287B4E" w14:textId="77777777" w:rsidR="00E66921" w:rsidRPr="00E66921" w:rsidRDefault="00E66921" w:rsidP="00E66921">
      <w:pPr>
        <w:spacing w:after="0" w:line="240" w:lineRule="auto"/>
        <w:rPr>
          <w:rFonts w:ascii="Arial" w:hAnsi="Arial" w:cs="Arial"/>
          <w:szCs w:val="24"/>
        </w:rPr>
      </w:pPr>
      <w:r w:rsidRPr="00E66921">
        <w:rPr>
          <w:rFonts w:ascii="Arial" w:hAnsi="Arial" w:cs="Arial"/>
          <w:szCs w:val="24"/>
        </w:rPr>
        <w:t xml:space="preserve">“With the NORAC UC7 Control System, Topcon Agriculture sets the bar for boom height automation,” she said. </w:t>
      </w:r>
    </w:p>
    <w:p w14:paraId="011847FA" w14:textId="77777777" w:rsidR="00764BCB" w:rsidRDefault="00764BCB" w:rsidP="000A54C5">
      <w:pPr>
        <w:spacing w:after="0" w:line="240" w:lineRule="auto"/>
        <w:rPr>
          <w:rFonts w:ascii="Arial" w:hAnsi="Arial" w:cs="Arial"/>
          <w:b/>
          <w:color w:val="808080" w:themeColor="background1" w:themeShade="80"/>
          <w:sz w:val="14"/>
          <w:szCs w:val="14"/>
          <w:lang w:val="en"/>
        </w:rPr>
      </w:pPr>
    </w:p>
    <w:p w14:paraId="478AAAB1" w14:textId="77777777" w:rsidR="00E66921" w:rsidRDefault="00E66921" w:rsidP="000A54C5">
      <w:pPr>
        <w:spacing w:after="0" w:line="240" w:lineRule="auto"/>
        <w:rPr>
          <w:rFonts w:ascii="Arial" w:hAnsi="Arial" w:cs="Arial"/>
          <w:b/>
          <w:color w:val="808080" w:themeColor="background1" w:themeShade="80"/>
          <w:sz w:val="14"/>
          <w:szCs w:val="14"/>
          <w:lang w:val="en"/>
        </w:rPr>
      </w:pPr>
    </w:p>
    <w:p w14:paraId="1B8DE62A" w14:textId="77777777" w:rsidR="00764BCB" w:rsidRPr="00930557" w:rsidRDefault="00764BCB" w:rsidP="000A54C5">
      <w:pPr>
        <w:spacing w:after="0" w:line="240" w:lineRule="auto"/>
        <w:rPr>
          <w:rFonts w:ascii="Arial" w:hAnsi="Arial" w:cs="Arial"/>
          <w:b/>
          <w:color w:val="808080" w:themeColor="background1" w:themeShade="80"/>
          <w:sz w:val="10"/>
          <w:szCs w:val="16"/>
        </w:rPr>
      </w:pPr>
    </w:p>
    <w:p w14:paraId="510EE85C" w14:textId="11CA16C4" w:rsidR="008A59EB" w:rsidRPr="00E66921" w:rsidRDefault="008A59EB" w:rsidP="000A54C5">
      <w:pPr>
        <w:spacing w:after="0" w:line="240" w:lineRule="auto"/>
        <w:rPr>
          <w:rFonts w:ascii="Arial" w:hAnsi="Arial" w:cs="Arial"/>
          <w:color w:val="808080" w:themeColor="background1" w:themeShade="80"/>
          <w:sz w:val="16"/>
          <w:szCs w:val="16"/>
        </w:rPr>
      </w:pPr>
      <w:r w:rsidRPr="00E66921">
        <w:rPr>
          <w:rFonts w:ascii="Arial" w:hAnsi="Arial" w:cs="Arial"/>
          <w:b/>
          <w:color w:val="808080" w:themeColor="background1" w:themeShade="80"/>
          <w:sz w:val="16"/>
          <w:szCs w:val="16"/>
        </w:rPr>
        <w:t xml:space="preserve">About Topcon Agriculture Group </w:t>
      </w:r>
      <w:r w:rsidRPr="00E66921">
        <w:rPr>
          <w:rFonts w:ascii="Arial" w:hAnsi="Arial" w:cs="Arial"/>
          <w:b/>
          <w:color w:val="808080" w:themeColor="background1" w:themeShade="80"/>
          <w:sz w:val="16"/>
          <w:szCs w:val="16"/>
        </w:rPr>
        <w:br/>
      </w:r>
      <w:r w:rsidR="00E66921" w:rsidRPr="00E66921">
        <w:rPr>
          <w:rFonts w:ascii="Arial" w:hAnsi="Arial" w:cs="Arial"/>
          <w:color w:val="808080" w:themeColor="background1" w:themeShade="80"/>
          <w:sz w:val="16"/>
          <w:szCs w:val="16"/>
        </w:rPr>
        <w:t>Topcon Agriculture Group is a division of the Topcon Positioning Group, headquartered in Livermore, California, USA (</w:t>
      </w:r>
      <w:hyperlink r:id="rId8" w:history="1">
        <w:r w:rsidR="00E66921" w:rsidRPr="00E66921">
          <w:rPr>
            <w:rStyle w:val="Hyperlink"/>
            <w:rFonts w:ascii="Arial" w:hAnsi="Arial" w:cs="Arial"/>
            <w:sz w:val="16"/>
            <w:szCs w:val="16"/>
          </w:rPr>
          <w:t>topconpositioning.com</w:t>
        </w:r>
      </w:hyperlink>
      <w:r w:rsidR="00E66921" w:rsidRPr="00E66921">
        <w:rPr>
          <w:rFonts w:ascii="Arial" w:hAnsi="Arial" w:cs="Arial"/>
          <w:color w:val="808080" w:themeColor="background1" w:themeShade="80"/>
          <w:sz w:val="16"/>
          <w:szCs w:val="16"/>
        </w:rPr>
        <w:t>). The global Topcon Agriculture Group (</w:t>
      </w:r>
      <w:hyperlink r:id="rId9" w:history="1">
        <w:r w:rsidR="00E66921" w:rsidRPr="00E66921">
          <w:rPr>
            <w:rStyle w:val="Hyperlink"/>
            <w:rFonts w:ascii="Arial" w:hAnsi="Arial" w:cs="Arial"/>
            <w:sz w:val="16"/>
            <w:szCs w:val="16"/>
          </w:rPr>
          <w:t>topconagriculture.com</w:t>
        </w:r>
      </w:hyperlink>
      <w:r w:rsidR="00E66921" w:rsidRPr="00E66921">
        <w:rPr>
          <w:rFonts w:ascii="Arial" w:hAnsi="Arial" w:cs="Arial"/>
          <w:color w:val="808080" w:themeColor="background1" w:themeShade="80"/>
          <w:sz w:val="16"/>
          <w:szCs w:val="16"/>
        </w:rPr>
        <w:t>)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to bring efficiency and enhance productivity to every phase of the farming operations</w:t>
      </w:r>
      <w:r w:rsidR="00E66921" w:rsidRPr="00E66921">
        <w:rPr>
          <w:rFonts w:ascii="Arial" w:hAnsi="Arial" w:cs="Arial"/>
          <w:b/>
          <w:bCs/>
          <w:color w:val="808080" w:themeColor="background1" w:themeShade="80"/>
          <w:sz w:val="16"/>
          <w:szCs w:val="16"/>
        </w:rPr>
        <w:t>.</w:t>
      </w:r>
      <w:r w:rsidR="00E66921" w:rsidRPr="00E66921">
        <w:rPr>
          <w:rFonts w:ascii="Arial" w:hAnsi="Arial" w:cs="Arial"/>
          <w:color w:val="808080" w:themeColor="background1" w:themeShade="80"/>
          <w:sz w:val="16"/>
          <w:szCs w:val="16"/>
        </w:rPr>
        <w:t xml:space="preserve"> </w:t>
      </w:r>
      <w:r w:rsidR="00E66921" w:rsidRPr="00E66921">
        <w:rPr>
          <w:rFonts w:ascii="Arial" w:hAnsi="Arial" w:cs="Arial"/>
          <w:iCs/>
          <w:color w:val="808080" w:themeColor="background1" w:themeShade="80"/>
          <w:sz w:val="16"/>
          <w:szCs w:val="16"/>
        </w:rPr>
        <w:t>Its brands include Topcon, Wachendorff Elektronik, Digi-Star, RDS Technology, and NORAC.</w:t>
      </w:r>
      <w:r w:rsidR="00E66921" w:rsidRPr="00E66921">
        <w:rPr>
          <w:rFonts w:ascii="Arial" w:hAnsi="Arial" w:cs="Arial"/>
          <w:color w:val="808080" w:themeColor="background1" w:themeShade="80"/>
          <w:sz w:val="16"/>
          <w:szCs w:val="16"/>
        </w:rPr>
        <w:t>Topcon Corporation (</w:t>
      </w:r>
      <w:hyperlink r:id="rId10" w:history="1">
        <w:r w:rsidR="00E66921" w:rsidRPr="00E66921">
          <w:rPr>
            <w:rStyle w:val="Hyperlink"/>
            <w:rFonts w:ascii="Arial" w:hAnsi="Arial" w:cs="Arial"/>
            <w:sz w:val="16"/>
            <w:szCs w:val="16"/>
          </w:rPr>
          <w:t>topcon.com</w:t>
        </w:r>
      </w:hyperlink>
      <w:r w:rsidR="00E66921" w:rsidRPr="00E66921">
        <w:rPr>
          <w:rFonts w:ascii="Arial" w:hAnsi="Arial" w:cs="Arial"/>
          <w:color w:val="808080" w:themeColor="background1" w:themeShade="80"/>
          <w:sz w:val="16"/>
          <w:szCs w:val="16"/>
        </w:rPr>
        <w:t>), founded in 1932, is traded on the Tokyo Stock Exchange (7732). </w:t>
      </w:r>
    </w:p>
    <w:p w14:paraId="6A20895C" w14:textId="77777777" w:rsidR="000A54C5" w:rsidRPr="00E66921" w:rsidRDefault="000A54C5" w:rsidP="000A54C5">
      <w:pPr>
        <w:spacing w:after="0" w:line="240" w:lineRule="auto"/>
        <w:rPr>
          <w:rFonts w:ascii="Arial" w:hAnsi="Arial" w:cs="Arial"/>
          <w:b/>
          <w:color w:val="808080" w:themeColor="background1" w:themeShade="80"/>
          <w:sz w:val="16"/>
          <w:szCs w:val="16"/>
        </w:rPr>
      </w:pPr>
    </w:p>
    <w:p w14:paraId="4FEFCCF4" w14:textId="78AE62FE" w:rsidR="00A52A7A" w:rsidRDefault="006D6CC7" w:rsidP="000A54C5">
      <w:pPr>
        <w:spacing w:after="0" w:line="240" w:lineRule="auto"/>
        <w:jc w:val="center"/>
        <w:rPr>
          <w:rFonts w:ascii="Arial" w:hAnsi="Arial" w:cs="Arial"/>
          <w:color w:val="808080" w:themeColor="background1" w:themeShade="80"/>
          <w:sz w:val="16"/>
          <w:szCs w:val="16"/>
        </w:rPr>
      </w:pPr>
      <w:r w:rsidRPr="00E66921">
        <w:rPr>
          <w:rFonts w:ascii="Arial" w:hAnsi="Arial" w:cs="Arial"/>
          <w:color w:val="808080" w:themeColor="background1" w:themeShade="80"/>
          <w:sz w:val="16"/>
          <w:szCs w:val="16"/>
        </w:rPr>
        <w:t>#</w:t>
      </w:r>
      <w:r w:rsidR="00100956" w:rsidRPr="00E66921">
        <w:rPr>
          <w:rFonts w:ascii="Arial" w:hAnsi="Arial" w:cs="Arial"/>
          <w:color w:val="808080" w:themeColor="background1" w:themeShade="80"/>
          <w:sz w:val="16"/>
          <w:szCs w:val="16"/>
        </w:rPr>
        <w:t xml:space="preserve"> </w:t>
      </w:r>
      <w:r w:rsidRPr="00E66921">
        <w:rPr>
          <w:rFonts w:ascii="Arial" w:hAnsi="Arial" w:cs="Arial"/>
          <w:color w:val="808080" w:themeColor="background1" w:themeShade="80"/>
          <w:sz w:val="16"/>
          <w:szCs w:val="16"/>
        </w:rPr>
        <w:t>#</w:t>
      </w:r>
      <w:r w:rsidR="00100956" w:rsidRPr="00E66921">
        <w:rPr>
          <w:rFonts w:ascii="Arial" w:hAnsi="Arial" w:cs="Arial"/>
          <w:color w:val="808080" w:themeColor="background1" w:themeShade="80"/>
          <w:sz w:val="16"/>
          <w:szCs w:val="16"/>
        </w:rPr>
        <w:t xml:space="preserve"> </w:t>
      </w:r>
      <w:r w:rsidRPr="00E66921">
        <w:rPr>
          <w:rFonts w:ascii="Arial" w:hAnsi="Arial" w:cs="Arial"/>
          <w:color w:val="808080" w:themeColor="background1" w:themeShade="80"/>
          <w:sz w:val="16"/>
          <w:szCs w:val="16"/>
        </w:rPr>
        <w:t>#</w:t>
      </w:r>
    </w:p>
    <w:p w14:paraId="7727169F" w14:textId="77777777" w:rsidR="00E66921" w:rsidRPr="00E66921" w:rsidRDefault="00E66921" w:rsidP="000A54C5">
      <w:pPr>
        <w:spacing w:after="0" w:line="240" w:lineRule="auto"/>
        <w:jc w:val="center"/>
        <w:rPr>
          <w:rFonts w:ascii="Arial" w:hAnsi="Arial" w:cs="Arial"/>
          <w:color w:val="808080" w:themeColor="background1" w:themeShade="80"/>
          <w:sz w:val="16"/>
          <w:szCs w:val="16"/>
        </w:rPr>
      </w:pPr>
    </w:p>
    <w:p w14:paraId="4247AD8E" w14:textId="5E394822" w:rsidR="00100956" w:rsidRPr="00E66921" w:rsidRDefault="00C0051B" w:rsidP="000A54C5">
      <w:pPr>
        <w:spacing w:after="0" w:line="240" w:lineRule="auto"/>
        <w:rPr>
          <w:rFonts w:ascii="Arial" w:hAnsi="Arial" w:cs="Arial"/>
          <w:b/>
          <w:color w:val="808080" w:themeColor="background1" w:themeShade="80"/>
          <w:sz w:val="16"/>
          <w:szCs w:val="16"/>
        </w:rPr>
      </w:pPr>
      <w:r w:rsidRPr="00E66921">
        <w:rPr>
          <w:rFonts w:ascii="Arial" w:hAnsi="Arial" w:cs="Arial"/>
          <w:b/>
          <w:color w:val="808080" w:themeColor="background1" w:themeShade="80"/>
          <w:sz w:val="16"/>
          <w:szCs w:val="16"/>
        </w:rPr>
        <w:t>Press Contact</w:t>
      </w:r>
      <w:r w:rsidR="00B316B4" w:rsidRPr="00E66921">
        <w:rPr>
          <w:rFonts w:ascii="Arial" w:hAnsi="Arial" w:cs="Arial"/>
          <w:b/>
          <w:color w:val="808080" w:themeColor="background1" w:themeShade="80"/>
          <w:sz w:val="16"/>
          <w:szCs w:val="16"/>
        </w:rPr>
        <w:t xml:space="preserve">: </w:t>
      </w:r>
    </w:p>
    <w:p w14:paraId="6BBA1A99" w14:textId="77777777" w:rsidR="008A59EB" w:rsidRPr="00E66921" w:rsidRDefault="008A59EB" w:rsidP="000A54C5">
      <w:pPr>
        <w:spacing w:after="0" w:line="240" w:lineRule="auto"/>
        <w:rPr>
          <w:rFonts w:ascii="Arial" w:hAnsi="Arial" w:cs="Arial"/>
          <w:bCs/>
          <w:color w:val="808080" w:themeColor="background1" w:themeShade="80"/>
          <w:sz w:val="16"/>
          <w:szCs w:val="16"/>
        </w:rPr>
      </w:pPr>
      <w:r w:rsidRPr="00E66921">
        <w:rPr>
          <w:rFonts w:ascii="Arial" w:hAnsi="Arial" w:cs="Arial"/>
          <w:bCs/>
          <w:color w:val="808080" w:themeColor="background1" w:themeShade="80"/>
          <w:sz w:val="16"/>
          <w:szCs w:val="16"/>
        </w:rPr>
        <w:t>Topcon Positioning Group</w:t>
      </w:r>
    </w:p>
    <w:p w14:paraId="319BC2F7" w14:textId="77777777" w:rsidR="00E66921" w:rsidRDefault="00C47A4A" w:rsidP="00100956">
      <w:pPr>
        <w:spacing w:after="0" w:line="240" w:lineRule="auto"/>
        <w:rPr>
          <w:rStyle w:val="Hyperlink"/>
          <w:rFonts w:ascii="Arial" w:hAnsi="Arial" w:cs="Arial"/>
          <w:bCs/>
          <w:color w:val="808080" w:themeColor="background1" w:themeShade="80"/>
          <w:sz w:val="16"/>
          <w:szCs w:val="16"/>
          <w:lang w:val="it-IT"/>
        </w:rPr>
      </w:pPr>
      <w:hyperlink r:id="rId11" w:history="1">
        <w:r w:rsidR="008A59EB" w:rsidRPr="00E66921">
          <w:rPr>
            <w:rStyle w:val="Hyperlink"/>
            <w:rFonts w:ascii="Arial" w:hAnsi="Arial" w:cs="Arial"/>
            <w:bCs/>
            <w:color w:val="808080" w:themeColor="background1" w:themeShade="80"/>
            <w:sz w:val="16"/>
            <w:szCs w:val="16"/>
            <w:lang w:val="it-IT"/>
          </w:rPr>
          <w:t>CorpComm@topcon.com</w:t>
        </w:r>
      </w:hyperlink>
      <w:r w:rsidR="00AE4785" w:rsidRPr="00E66921">
        <w:rPr>
          <w:rStyle w:val="Hyperlink"/>
          <w:rFonts w:ascii="Arial" w:hAnsi="Arial" w:cs="Arial"/>
          <w:bCs/>
          <w:color w:val="808080" w:themeColor="background1" w:themeShade="80"/>
          <w:sz w:val="16"/>
          <w:szCs w:val="16"/>
          <w:lang w:val="it-IT"/>
        </w:rPr>
        <w:t xml:space="preserve">  </w:t>
      </w:r>
    </w:p>
    <w:p w14:paraId="258C0C6D" w14:textId="3858F3B8" w:rsidR="00C0051B" w:rsidRDefault="008A59EB" w:rsidP="00100956">
      <w:pPr>
        <w:spacing w:after="0" w:line="240" w:lineRule="auto"/>
        <w:rPr>
          <w:rFonts w:ascii="Arial" w:hAnsi="Arial" w:cs="Arial"/>
          <w:bCs/>
          <w:color w:val="808080" w:themeColor="background1" w:themeShade="80"/>
          <w:sz w:val="16"/>
          <w:szCs w:val="16"/>
          <w:lang w:val="it-IT"/>
        </w:rPr>
      </w:pPr>
      <w:r w:rsidRPr="00E66921">
        <w:rPr>
          <w:rFonts w:ascii="Arial" w:hAnsi="Arial" w:cs="Arial"/>
          <w:bCs/>
          <w:color w:val="808080" w:themeColor="background1" w:themeShade="80"/>
          <w:sz w:val="16"/>
          <w:szCs w:val="16"/>
          <w:lang w:val="it-IT"/>
        </w:rPr>
        <w:t xml:space="preserve">USA: </w:t>
      </w:r>
      <w:r w:rsidR="00E66921" w:rsidRPr="00E66921">
        <w:rPr>
          <w:rFonts w:ascii="Arial" w:hAnsi="Arial" w:cs="Arial"/>
          <w:bCs/>
          <w:color w:val="808080" w:themeColor="background1" w:themeShade="80"/>
          <w:sz w:val="16"/>
          <w:szCs w:val="16"/>
          <w:lang w:val="it-IT"/>
        </w:rPr>
        <w:t>Staci Fitzgerald</w:t>
      </w:r>
      <w:r w:rsidR="00E66921">
        <w:rPr>
          <w:rFonts w:ascii="Arial" w:hAnsi="Arial" w:cs="Arial"/>
          <w:bCs/>
          <w:color w:val="808080" w:themeColor="background1" w:themeShade="80"/>
          <w:sz w:val="16"/>
          <w:szCs w:val="16"/>
          <w:lang w:val="it-IT"/>
        </w:rPr>
        <w:t xml:space="preserve">, </w:t>
      </w:r>
      <w:r w:rsidRPr="00E66921">
        <w:rPr>
          <w:rFonts w:ascii="Arial" w:hAnsi="Arial" w:cs="Arial"/>
          <w:bCs/>
          <w:color w:val="808080" w:themeColor="background1" w:themeShade="80"/>
          <w:sz w:val="16"/>
          <w:szCs w:val="16"/>
          <w:lang w:val="it-IT"/>
        </w:rPr>
        <w:t>+1 925-245-8610</w:t>
      </w:r>
      <w:r w:rsidR="00AE4785" w:rsidRPr="00E66921">
        <w:rPr>
          <w:rFonts w:ascii="Arial" w:hAnsi="Arial" w:cs="Arial"/>
          <w:bCs/>
          <w:color w:val="808080" w:themeColor="background1" w:themeShade="80"/>
          <w:sz w:val="16"/>
          <w:szCs w:val="16"/>
          <w:lang w:val="it-IT"/>
        </w:rPr>
        <w:t xml:space="preserve">  </w:t>
      </w:r>
    </w:p>
    <w:p w14:paraId="135F7416" w14:textId="1021E1C8" w:rsidR="00930557" w:rsidRPr="00930557" w:rsidRDefault="00930557" w:rsidP="00930557">
      <w:pPr>
        <w:spacing w:after="0" w:line="240" w:lineRule="auto"/>
        <w:jc w:val="right"/>
        <w:rPr>
          <w:rFonts w:ascii="Arial" w:hAnsi="Arial" w:cs="Arial"/>
          <w:bCs/>
          <w:sz w:val="16"/>
          <w:szCs w:val="16"/>
        </w:rPr>
      </w:pPr>
      <w:r w:rsidRPr="00930557">
        <w:rPr>
          <w:rFonts w:ascii="Arial" w:hAnsi="Arial" w:cs="Arial"/>
          <w:bCs/>
          <w:sz w:val="16"/>
          <w:szCs w:val="16"/>
        </w:rPr>
        <w:t xml:space="preserve">Photo: Topcon X25 console and UC7 control module </w:t>
      </w:r>
    </w:p>
    <w:sectPr w:rsidR="00930557" w:rsidRPr="00930557" w:rsidSect="00764BCB">
      <w:headerReference w:type="default" r:id="rId12"/>
      <w:footerReference w:type="default" r:id="rId13"/>
      <w:pgSz w:w="12240" w:h="15840"/>
      <w:pgMar w:top="2160" w:right="1440" w:bottom="432"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71905" w14:textId="77777777" w:rsidR="00C47A4A" w:rsidRDefault="00C47A4A" w:rsidP="00C0051B">
      <w:pPr>
        <w:spacing w:after="0" w:line="240" w:lineRule="auto"/>
      </w:pPr>
      <w:r>
        <w:separator/>
      </w:r>
    </w:p>
  </w:endnote>
  <w:endnote w:type="continuationSeparator" w:id="0">
    <w:p w14:paraId="507859F3" w14:textId="77777777" w:rsidR="00C47A4A" w:rsidRDefault="00C47A4A"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E80DC" w14:textId="77777777" w:rsidR="00C47A4A" w:rsidRDefault="00C47A4A" w:rsidP="00C0051B">
      <w:pPr>
        <w:spacing w:after="0" w:line="240" w:lineRule="auto"/>
      </w:pPr>
      <w:r>
        <w:separator/>
      </w:r>
    </w:p>
  </w:footnote>
  <w:footnote w:type="continuationSeparator" w:id="0">
    <w:p w14:paraId="4DFFDB0F" w14:textId="77777777" w:rsidR="00C47A4A" w:rsidRDefault="00C47A4A"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61319"/>
    <w:rsid w:val="000A54C5"/>
    <w:rsid w:val="000D6E25"/>
    <w:rsid w:val="00100956"/>
    <w:rsid w:val="00127DC1"/>
    <w:rsid w:val="00147AD0"/>
    <w:rsid w:val="00206B4E"/>
    <w:rsid w:val="00215ABC"/>
    <w:rsid w:val="002204AE"/>
    <w:rsid w:val="0023586D"/>
    <w:rsid w:val="002473D8"/>
    <w:rsid w:val="00396363"/>
    <w:rsid w:val="003C2C91"/>
    <w:rsid w:val="003E7538"/>
    <w:rsid w:val="003E7DC8"/>
    <w:rsid w:val="00416F47"/>
    <w:rsid w:val="004413BC"/>
    <w:rsid w:val="004A599B"/>
    <w:rsid w:val="004B4B1F"/>
    <w:rsid w:val="004D24F5"/>
    <w:rsid w:val="00536C9E"/>
    <w:rsid w:val="0057688E"/>
    <w:rsid w:val="006126E7"/>
    <w:rsid w:val="006A3372"/>
    <w:rsid w:val="006B18E5"/>
    <w:rsid w:val="006D6CC7"/>
    <w:rsid w:val="006F0FDB"/>
    <w:rsid w:val="00703C71"/>
    <w:rsid w:val="007205DD"/>
    <w:rsid w:val="00732130"/>
    <w:rsid w:val="007428E6"/>
    <w:rsid w:val="00764BCB"/>
    <w:rsid w:val="007728C9"/>
    <w:rsid w:val="00773597"/>
    <w:rsid w:val="0078029C"/>
    <w:rsid w:val="007D1790"/>
    <w:rsid w:val="00855255"/>
    <w:rsid w:val="0086064A"/>
    <w:rsid w:val="00871BDD"/>
    <w:rsid w:val="008A59EB"/>
    <w:rsid w:val="008B3AB6"/>
    <w:rsid w:val="00930557"/>
    <w:rsid w:val="00931C9E"/>
    <w:rsid w:val="00993D3A"/>
    <w:rsid w:val="009A06CF"/>
    <w:rsid w:val="009F4B8B"/>
    <w:rsid w:val="00A52A7A"/>
    <w:rsid w:val="00A6367E"/>
    <w:rsid w:val="00A7793F"/>
    <w:rsid w:val="00A77DB1"/>
    <w:rsid w:val="00AA1383"/>
    <w:rsid w:val="00AB2EFF"/>
    <w:rsid w:val="00AC1DD7"/>
    <w:rsid w:val="00AE4785"/>
    <w:rsid w:val="00B316B4"/>
    <w:rsid w:val="00B445B2"/>
    <w:rsid w:val="00B5332B"/>
    <w:rsid w:val="00BE6712"/>
    <w:rsid w:val="00C0051B"/>
    <w:rsid w:val="00C47A4A"/>
    <w:rsid w:val="00C71644"/>
    <w:rsid w:val="00CA40F4"/>
    <w:rsid w:val="00D124EF"/>
    <w:rsid w:val="00D46BFE"/>
    <w:rsid w:val="00DA391C"/>
    <w:rsid w:val="00DF4680"/>
    <w:rsid w:val="00E66921"/>
    <w:rsid w:val="00E96BB8"/>
    <w:rsid w:val="00EA4C62"/>
    <w:rsid w:val="00EB1E8A"/>
    <w:rsid w:val="00EC122D"/>
    <w:rsid w:val="00ED2040"/>
    <w:rsid w:val="00FA4258"/>
    <w:rsid w:val="00FC641A"/>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rpComm@topcon.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www.topconpositioning.com/" TargetMode="External"/><Relationship Id="rId9" Type="http://schemas.openxmlformats.org/officeDocument/2006/relationships/hyperlink" Target="http://www.topconagriculture.com/" TargetMode="External"/><Relationship Id="rId10" Type="http://schemas.openxmlformats.org/officeDocument/2006/relationships/hyperlink" Target="http://global.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1165892-5F76-1143-A789-E30FC824C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2443</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Staci Fitzgerald</cp:lastModifiedBy>
  <cp:revision>3</cp:revision>
  <dcterms:created xsi:type="dcterms:W3CDTF">2017-02-10T23:34:00Z</dcterms:created>
  <dcterms:modified xsi:type="dcterms:W3CDTF">2017-02-10T23:34:00Z</dcterms:modified>
</cp:coreProperties>
</file>